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tillium Web" w:cs="Titillium Web" w:eastAsia="Titillium Web" w:hAnsi="Titillium Web"/>
          <w:b w:val="1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DECLARACIÓN DE CUMPLIMIENTO Y SANCIONES</w:t>
      </w:r>
    </w:p>
    <w:p w:rsidR="00000000" w:rsidDel="00000000" w:rsidP="00000000" w:rsidRDefault="00000000" w:rsidRPr="00000000" w14:paraId="00000002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Esta declaración es un componente esencial del proceso de Conocimiento de su Empresa (KYB) y de Debida Diligencia de la Empresa (DDE) requerido por el Programa Global de PLA/FT y Cumplimiento de Sanciones de Yuno. Yuno proporciona una plataforma tecnológica de Software como Servicio (SaaS) y no retiene, custodia ni controla los fondos de clientes o usuarios finales. El Programa de Yuno está diseñado para prevenir el uso indebido de sus servicios tecnológicos, basado en una sólida Gestión de Riesgos de la Empresa y un Cumplimiento de Sanciones universal e indelegable.</w:t>
      </w:r>
    </w:p>
    <w:p w:rsidR="00000000" w:rsidDel="00000000" w:rsidP="00000000" w:rsidRDefault="00000000" w:rsidRPr="00000000" w14:paraId="00000004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tillium Web" w:cs="Titillium Web" w:eastAsia="Titillium Web" w:hAnsi="Titillium Web"/>
          <w:b w:val="1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Declaración</w:t>
      </w:r>
    </w:p>
    <w:p w:rsidR="00000000" w:rsidDel="00000000" w:rsidP="00000000" w:rsidRDefault="00000000" w:rsidRPr="00000000" w14:paraId="00000006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Yo, Representante Legal de la sociedad anteriormente identificada, por la presente Certifico: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Operaciones Comerciales Lícitas:</w:t>
      </w: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 La Empresa es una entidad legalmente constituida y vigente. Todas sus actividades comerciales son lícitas en sus jurisdicciones operativas y todos sus fondos corporativos provienen de fuentes legítimas.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Cumplimiento PLA/FT de la Empresa:</w:t>
      </w: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 La Empresa mantiene su propio programa de cumplimiento de Prevención de Lavado de Activos (PLA) y Financiación del Terrorismo (FT) basado en riesgos, proporcional a su riesgo y requisitos regulatorios, diseñado para prevenir actividades ilícitas.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Cumplimiento de Sanciones Globales:</w:t>
      </w: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 La Empresa, sus empresas matrices, subsidiarias, Beneficiarios Finales (UBO), directores y directivos no están: (i) designados en ninguna lista de sanciones obligatorias (incluidas OFAC, ONU, UE, UK HMT, colectivamente "Listas de Sanciones"); o (ii) que sean propiedad (en un 50% o más) o estén controladas por alguna de dichas personas designadas.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No Participación en Actividades Ilícitas:</w:t>
      </w: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 Ni la Empresa ni sus UBO o personas clave de control han sido investigados, acusados o condenados por ningún delito grave u otro delito relacionado con delitos financieros, incluido el lavado de dinero, la financiación del terrorismo, el fraude o la corrupción.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Compromiso de Transparencia:</w:t>
      </w: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 La Empresa se compromete a cooperar plenamente con el departamento de Cumplimiento de Yuno y proporcionar cualquier documentación requerida para el KYB o la debida diligencia continua, incluida información sobre UBO o procedimientos internos de cumplimiento.</w:t>
      </w:r>
    </w:p>
    <w:p w:rsidR="00000000" w:rsidDel="00000000" w:rsidP="00000000" w:rsidRDefault="00000000" w:rsidRPr="00000000" w14:paraId="0000000D">
      <w:pPr>
        <w:ind w:left="0" w:firstLine="0"/>
        <w:jc w:val="both"/>
        <w:rPr>
          <w:rFonts w:ascii="Titillium Web" w:cs="Titillium Web" w:eastAsia="Titillium Web" w:hAnsi="Titillium Web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tillium Web" w:cs="Titillium Web" w:eastAsia="Titillium Web" w:hAnsi="Titillium Web"/>
          <w:b w:val="1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Canales autorizados</w:t>
      </w:r>
    </w:p>
    <w:p w:rsidR="00000000" w:rsidDel="00000000" w:rsidP="00000000" w:rsidRDefault="00000000" w:rsidRPr="00000000" w14:paraId="00000010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Los siguientes canales de comunicación están autorizados para asuntos relacionados con Cumplimiento:</w:t>
      </w:r>
    </w:p>
    <w:p w:rsidR="00000000" w:rsidDel="00000000" w:rsidP="00000000" w:rsidRDefault="00000000" w:rsidRPr="00000000" w14:paraId="00000012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Layout w:type="fixed"/>
        <w:tblLook w:val="0600"/>
      </w:tblPr>
      <w:tblGrid>
        <w:gridCol w:w="4650"/>
        <w:gridCol w:w="4665"/>
        <w:tblGridChange w:id="0">
          <w:tblGrid>
            <w:gridCol w:w="4650"/>
            <w:gridCol w:w="4665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b w:val="1"/>
                <w:color w:val="ffffff"/>
                <w:sz w:val="20"/>
                <w:szCs w:val="20"/>
                <w:rtl w:val="0"/>
              </w:rPr>
              <w:t xml:space="preserve">Para la empresa: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b w:val="1"/>
                <w:color w:val="ffffff"/>
                <w:sz w:val="20"/>
                <w:szCs w:val="20"/>
                <w:rtl w:val="0"/>
              </w:rPr>
              <w:t xml:space="preserve">Para Yuno: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sz w:val="20"/>
                <w:szCs w:val="20"/>
                <w:rtl w:val="0"/>
              </w:rPr>
              <w:t xml:space="preserve">Nombre: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sz w:val="20"/>
                <w:szCs w:val="20"/>
                <w:rtl w:val="0"/>
              </w:rPr>
              <w:t xml:space="preserve">Nombre: Cumplimiento de Yuno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sz w:val="20"/>
                <w:szCs w:val="20"/>
                <w:rtl w:val="0"/>
              </w:rPr>
              <w:t xml:space="preserve">Posición: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sz w:val="20"/>
                <w:szCs w:val="20"/>
                <w:rtl w:val="0"/>
              </w:rPr>
              <w:t xml:space="preserve">Posición: Oficial de Cumplimiento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sz w:val="20"/>
                <w:szCs w:val="20"/>
                <w:rtl w:val="0"/>
              </w:rPr>
              <w:t xml:space="preserve">Correo electrónico: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rFonts w:ascii="Titillium Web" w:cs="Titillium Web" w:eastAsia="Titillium Web" w:hAnsi="Titillium Web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sz w:val="20"/>
                <w:szCs w:val="20"/>
                <w:rtl w:val="0"/>
              </w:rPr>
              <w:t xml:space="preserve">Correo electrónico: cumplimiento@y.uno</w:t>
            </w:r>
          </w:p>
        </w:tc>
      </w:tr>
    </w:tbl>
    <w:p w:rsidR="00000000" w:rsidDel="00000000" w:rsidP="00000000" w:rsidRDefault="00000000" w:rsidRPr="00000000" w14:paraId="0000001B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tillium Web" w:cs="Titillium Web" w:eastAsia="Titillium Web" w:hAnsi="Titillium Web"/>
          <w:b w:val="1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20"/>
          <w:szCs w:val="20"/>
          <w:rtl w:val="0"/>
        </w:rPr>
        <w:t xml:space="preserve">Autorización</w:t>
      </w:r>
    </w:p>
    <w:p w:rsidR="00000000" w:rsidDel="00000000" w:rsidP="00000000" w:rsidRDefault="00000000" w:rsidRPr="00000000" w14:paraId="0000001D">
      <w:pPr>
        <w:jc w:val="both"/>
        <w:rPr>
          <w:rFonts w:ascii="Titillium Web" w:cs="Titillium Web" w:eastAsia="Titillium Web" w:hAnsi="Titillium Web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Al firmar a continuación, afirmo que toda la información proporcionada en esta declaración es precisa, completa y actual. Entiendo que cualquier declaración falsa, omisión o falta de cooperación con las solicitudes de KYB de Yuno puede resultar en el rechazo inmediato o la terminación de la relación comercial.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___________________________</w:t>
      </w:r>
    </w:p>
    <w:p w:rsidR="00000000" w:rsidDel="00000000" w:rsidP="00000000" w:rsidRDefault="00000000" w:rsidRPr="00000000" w14:paraId="00000022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Nombre completo:</w:t>
      </w:r>
    </w:p>
    <w:p w:rsidR="00000000" w:rsidDel="00000000" w:rsidP="00000000" w:rsidRDefault="00000000" w:rsidRPr="00000000" w14:paraId="00000023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Posición:</w:t>
      </w:r>
    </w:p>
    <w:p w:rsidR="00000000" w:rsidDel="00000000" w:rsidP="00000000" w:rsidRDefault="00000000" w:rsidRPr="00000000" w14:paraId="00000024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Fecha:</w:t>
      </w:r>
    </w:p>
    <w:p w:rsidR="00000000" w:rsidDel="00000000" w:rsidP="00000000" w:rsidRDefault="00000000" w:rsidRPr="00000000" w14:paraId="00000025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Nombre comercial de la empresa:</w:t>
      </w:r>
    </w:p>
    <w:p w:rsidR="00000000" w:rsidDel="00000000" w:rsidP="00000000" w:rsidRDefault="00000000" w:rsidRPr="00000000" w14:paraId="00000026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ID FISCAL / Número de registro:</w:t>
      </w:r>
    </w:p>
    <w:p w:rsidR="00000000" w:rsidDel="00000000" w:rsidP="00000000" w:rsidRDefault="00000000" w:rsidRPr="00000000" w14:paraId="00000027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sz w:val="20"/>
          <w:szCs w:val="20"/>
          <w:rtl w:val="0"/>
        </w:rPr>
        <w:t xml:space="preserve">País de constitución:</w:t>
      </w:r>
    </w:p>
    <w:p w:rsidR="00000000" w:rsidDel="00000000" w:rsidP="00000000" w:rsidRDefault="00000000" w:rsidRPr="00000000" w14:paraId="00000028">
      <w:pPr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tillium Web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4267200</wp:posOffset>
          </wp:positionH>
          <wp:positionV relativeFrom="paragraph">
            <wp:posOffset>-190499</wp:posOffset>
          </wp:positionV>
          <wp:extent cx="2087093" cy="5095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224" l="12179" r="12339" t="41346"/>
                  <a:stretch>
                    <a:fillRect/>
                  </a:stretch>
                </pic:blipFill>
                <pic:spPr>
                  <a:xfrm>
                    <a:off x="0" y="0"/>
                    <a:ext cx="2087093" cy="5095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itilliumWeb-regular.ttf"/><Relationship Id="rId2" Type="http://schemas.openxmlformats.org/officeDocument/2006/relationships/font" Target="fonts/TitilliumWeb-bold.ttf"/><Relationship Id="rId3" Type="http://schemas.openxmlformats.org/officeDocument/2006/relationships/font" Target="fonts/TitilliumWeb-italic.ttf"/><Relationship Id="rId4" Type="http://schemas.openxmlformats.org/officeDocument/2006/relationships/font" Target="fonts/TitilliumWeb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